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60078A7E"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9376CD">
        <w:rPr>
          <w:bCs/>
          <w:noProof w:val="0"/>
          <w:sz w:val="24"/>
          <w:szCs w:val="24"/>
        </w:rPr>
        <w:t>9</w:t>
      </w:r>
      <w:r w:rsidR="00F365F5">
        <w:rPr>
          <w:bCs/>
          <w:noProof w:val="0"/>
          <w:sz w:val="24"/>
          <w:szCs w:val="24"/>
        </w:rPr>
        <w:t>-e</w:t>
      </w:r>
      <w:r w:rsidRPr="00B266B0">
        <w:rPr>
          <w:bCs/>
          <w:noProof w:val="0"/>
          <w:sz w:val="24"/>
          <w:szCs w:val="24"/>
        </w:rPr>
        <w:tab/>
      </w:r>
      <w:r w:rsidR="00E1336F" w:rsidRPr="00E1336F">
        <w:rPr>
          <w:bCs/>
          <w:noProof w:val="0"/>
          <w:sz w:val="24"/>
          <w:szCs w:val="24"/>
        </w:rPr>
        <w:t>R2-2001061</w:t>
      </w:r>
    </w:p>
    <w:p w14:paraId="11776FA6" w14:textId="66CA836A" w:rsidR="00A209D6" w:rsidRPr="00465587" w:rsidRDefault="00E1336F" w:rsidP="00A209D6">
      <w:pPr>
        <w:pStyle w:val="Header"/>
        <w:tabs>
          <w:tab w:val="right" w:pos="9639"/>
        </w:tabs>
        <w:rPr>
          <w:rFonts w:eastAsia="SimSun"/>
          <w:bCs/>
          <w:sz w:val="24"/>
          <w:szCs w:val="24"/>
          <w:lang w:eastAsia="zh-CN"/>
        </w:rPr>
      </w:pPr>
      <w:r>
        <w:rPr>
          <w:rFonts w:eastAsia="SimSun"/>
          <w:bCs/>
          <w:sz w:val="24"/>
          <w:szCs w:val="24"/>
          <w:lang w:eastAsia="zh-CN"/>
        </w:rPr>
        <w:t>Online</w:t>
      </w:r>
      <w:r w:rsidR="006574C0" w:rsidRPr="006574C0">
        <w:rPr>
          <w:rFonts w:eastAsia="SimSun"/>
          <w:bCs/>
          <w:sz w:val="24"/>
          <w:szCs w:val="24"/>
          <w:lang w:eastAsia="zh-CN"/>
        </w:rPr>
        <w:t xml:space="preserve">, </w:t>
      </w:r>
      <w:r w:rsidR="009376CD">
        <w:rPr>
          <w:rFonts w:eastAsia="SimSun"/>
          <w:bCs/>
          <w:sz w:val="24"/>
          <w:szCs w:val="24"/>
          <w:lang w:eastAsia="zh-CN"/>
        </w:rPr>
        <w:t>24</w:t>
      </w:r>
      <w:r w:rsidR="006574C0" w:rsidRPr="006574C0">
        <w:rPr>
          <w:rFonts w:eastAsia="SimSun"/>
          <w:bCs/>
          <w:sz w:val="24"/>
          <w:szCs w:val="24"/>
          <w:lang w:eastAsia="zh-CN"/>
        </w:rPr>
        <w:t xml:space="preserve"> </w:t>
      </w:r>
      <w:r w:rsidR="00F365F5">
        <w:rPr>
          <w:rFonts w:eastAsia="SimSun"/>
          <w:bCs/>
          <w:sz w:val="24"/>
          <w:szCs w:val="24"/>
          <w:lang w:eastAsia="zh-CN"/>
        </w:rPr>
        <w:t xml:space="preserve">February </w:t>
      </w:r>
      <w:r w:rsidR="006574C0" w:rsidRPr="006574C0">
        <w:rPr>
          <w:rFonts w:eastAsia="SimSun"/>
          <w:bCs/>
          <w:sz w:val="24"/>
          <w:szCs w:val="24"/>
          <w:lang w:eastAsia="zh-CN"/>
        </w:rPr>
        <w:t xml:space="preserve">– </w:t>
      </w:r>
      <w:r w:rsidR="00F365F5">
        <w:rPr>
          <w:rFonts w:eastAsia="SimSun"/>
          <w:bCs/>
          <w:sz w:val="24"/>
          <w:szCs w:val="24"/>
          <w:lang w:eastAsia="zh-CN"/>
        </w:rPr>
        <w:t>6</w:t>
      </w:r>
      <w:r w:rsidR="006574C0" w:rsidRPr="006574C0">
        <w:rPr>
          <w:rFonts w:eastAsia="SimSun"/>
          <w:bCs/>
          <w:sz w:val="24"/>
          <w:szCs w:val="24"/>
          <w:lang w:eastAsia="zh-CN"/>
        </w:rPr>
        <w:t xml:space="preserve"> </w:t>
      </w:r>
      <w:r w:rsidR="00F365F5">
        <w:rPr>
          <w:rFonts w:eastAsia="SimSun"/>
          <w:bCs/>
          <w:sz w:val="24"/>
          <w:szCs w:val="24"/>
          <w:lang w:eastAsia="zh-CN"/>
        </w:rPr>
        <w:t>March</w:t>
      </w:r>
      <w:r w:rsidR="006574C0" w:rsidRPr="006574C0">
        <w:rPr>
          <w:rFonts w:eastAsia="SimSun"/>
          <w:bCs/>
          <w:sz w:val="24"/>
          <w:szCs w:val="24"/>
          <w:lang w:eastAsia="zh-CN"/>
        </w:rPr>
        <w:t xml:space="preserve"> 20</w:t>
      </w:r>
      <w:r w:rsidR="009376CD">
        <w:rPr>
          <w:rFonts w:eastAsia="SimSun"/>
          <w:bCs/>
          <w:sz w:val="24"/>
          <w:szCs w:val="24"/>
          <w:lang w:eastAsia="zh-CN"/>
        </w:rPr>
        <w:t>20</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7D73AC7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65F5">
        <w:rPr>
          <w:rFonts w:cs="Arial"/>
          <w:b/>
          <w:bCs/>
          <w:sz w:val="24"/>
          <w:lang w:eastAsia="ja-JP"/>
        </w:rPr>
        <w:t>6</w:t>
      </w:r>
      <w:r>
        <w:rPr>
          <w:rFonts w:cs="Arial"/>
          <w:b/>
          <w:bCs/>
          <w:sz w:val="24"/>
          <w:lang w:eastAsia="ja-JP"/>
        </w:rPr>
        <w:t>.</w:t>
      </w:r>
      <w:r w:rsidR="00F365F5">
        <w:rPr>
          <w:rFonts w:cs="Arial"/>
          <w:b/>
          <w:bCs/>
          <w:sz w:val="24"/>
          <w:lang w:eastAsia="ja-JP"/>
        </w:rPr>
        <w:t>1</w:t>
      </w:r>
      <w:r>
        <w:rPr>
          <w:rFonts w:cs="Arial"/>
          <w:b/>
          <w:bCs/>
          <w:sz w:val="24"/>
          <w:lang w:eastAsia="ja-JP"/>
        </w:rPr>
        <w:t>.</w:t>
      </w:r>
      <w:r w:rsidR="00F365F5">
        <w:rPr>
          <w:rFonts w:cs="Arial"/>
          <w:b/>
          <w:bCs/>
          <w:sz w:val="24"/>
          <w:lang w:eastAsia="ja-JP"/>
        </w:rPr>
        <w:t>5.2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6E747A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365F5" w:rsidRPr="00F365F5">
        <w:rPr>
          <w:rFonts w:ascii="Arial" w:hAnsi="Arial" w:cs="Arial"/>
          <w:b/>
          <w:bCs/>
          <w:sz w:val="24"/>
        </w:rPr>
        <w:t>IAB-MT features list and capabilities</w:t>
      </w:r>
    </w:p>
    <w:p w14:paraId="1F147C23" w14:textId="352C57C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D7071D">
        <w:rPr>
          <w:rFonts w:ascii="Arial" w:hAnsi="Arial" w:cs="Arial"/>
          <w:b/>
          <w:bCs/>
          <w:sz w:val="24"/>
        </w:rPr>
        <w:t>NR_IAB</w:t>
      </w:r>
      <w:r w:rsidRPr="00112F1A">
        <w:rPr>
          <w:rFonts w:ascii="Arial" w:hAnsi="Arial" w:cs="Arial"/>
          <w:b/>
          <w:bCs/>
          <w:sz w:val="24"/>
        </w:rPr>
        <w:t xml:space="preserve"> </w:t>
      </w:r>
      <w:r>
        <w:rPr>
          <w:rFonts w:ascii="Arial" w:hAnsi="Arial" w:cs="Arial"/>
          <w:b/>
          <w:bCs/>
          <w:sz w:val="24"/>
        </w:rPr>
        <w:t xml:space="preserve">- Release </w:t>
      </w:r>
      <w:r w:rsidR="00D7071D">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64517DBA" w14:textId="77777777" w:rsidR="00AB26B9" w:rsidRDefault="00AB26B9" w:rsidP="00B7067E">
      <w:pPr>
        <w:rPr>
          <w:lang w:val="en-US"/>
        </w:rPr>
      </w:pPr>
      <w:r>
        <w:rPr>
          <w:lang w:val="en-US"/>
        </w:rPr>
        <w:t>An e-mail discussion on the IAB-MT features list identified several issues which require further discussion:</w:t>
      </w:r>
    </w:p>
    <w:p w14:paraId="311B4B87" w14:textId="3F292D98" w:rsidR="00AB26B9" w:rsidRPr="00AB26B9" w:rsidRDefault="00AB26B9" w:rsidP="00AB26B9">
      <w:pPr>
        <w:pStyle w:val="ListParagraph"/>
        <w:numPr>
          <w:ilvl w:val="0"/>
          <w:numId w:val="19"/>
        </w:numPr>
        <w:rPr>
          <w:lang w:val="en-US"/>
        </w:rPr>
      </w:pPr>
      <w:r w:rsidRPr="00AB26B9">
        <w:t>whether the PDCP DRB handling is a</w:t>
      </w:r>
      <w:r>
        <w:t xml:space="preserve"> mandatory or optional </w:t>
      </w:r>
      <w:r w:rsidRPr="00AB26B9">
        <w:t>feature</w:t>
      </w:r>
      <w:r>
        <w:t xml:space="preserve"> IAB-MT</w:t>
      </w:r>
      <w:r w:rsidR="00870D87">
        <w:t xml:space="preserve"> and if the DRB needs to be established for the IAB-MT to perform RRC Reestablishment procedure</w:t>
      </w:r>
    </w:p>
    <w:p w14:paraId="17404DBD" w14:textId="626CDE23" w:rsidR="00AB26B9" w:rsidRPr="00AB26B9" w:rsidRDefault="00AB26B9" w:rsidP="00AB26B9">
      <w:pPr>
        <w:pStyle w:val="ListParagraph"/>
        <w:numPr>
          <w:ilvl w:val="0"/>
          <w:numId w:val="19"/>
        </w:numPr>
        <w:rPr>
          <w:lang w:val="en-US"/>
        </w:rPr>
      </w:pPr>
      <w:r w:rsidRPr="00AB26B9">
        <w:rPr>
          <w:lang w:val="en-US"/>
        </w:rPr>
        <w:t xml:space="preserve">whether IP </w:t>
      </w:r>
      <w:r w:rsidR="007A592B">
        <w:rPr>
          <w:lang w:val="en-US"/>
        </w:rPr>
        <w:t xml:space="preserve">address </w:t>
      </w:r>
      <w:r w:rsidRPr="00AB26B9">
        <w:rPr>
          <w:lang w:val="en-US"/>
        </w:rPr>
        <w:t xml:space="preserve">assignment over RRC </w:t>
      </w:r>
      <w:r>
        <w:rPr>
          <w:lang w:val="en-US"/>
        </w:rPr>
        <w:t>needs to be introduced as a capability for IAB-MT</w:t>
      </w:r>
    </w:p>
    <w:p w14:paraId="19D9A6C3" w14:textId="4BE09FC1" w:rsidR="00AB26B9" w:rsidRDefault="0050622F" w:rsidP="00AB26B9">
      <w:pPr>
        <w:pStyle w:val="ListParagraph"/>
        <w:numPr>
          <w:ilvl w:val="0"/>
          <w:numId w:val="19"/>
        </w:numPr>
        <w:rPr>
          <w:lang w:val="en-US"/>
        </w:rPr>
      </w:pPr>
      <w:r w:rsidRPr="0050622F">
        <w:rPr>
          <w:lang w:val="en-US"/>
        </w:rPr>
        <w:t>whether “F1AP over LTE leg signaling for EN-DC IAB-MT” is a capability (if it is optional), and the feature/feature group in which it needs to be added</w:t>
      </w:r>
    </w:p>
    <w:p w14:paraId="035D8AFB" w14:textId="01ADFAD9" w:rsidR="0050622F" w:rsidRPr="00464C72" w:rsidRDefault="0050622F" w:rsidP="0050622F">
      <w:pPr>
        <w:pStyle w:val="ListParagraph"/>
        <w:numPr>
          <w:ilvl w:val="0"/>
          <w:numId w:val="19"/>
        </w:numPr>
        <w:rPr>
          <w:lang w:val="en-US"/>
        </w:rPr>
      </w:pPr>
      <w:r>
        <w:rPr>
          <w:lang w:val="en-US"/>
        </w:rPr>
        <w:t xml:space="preserve">whether flow control feature should be separated into separate sub-features for </w:t>
      </w:r>
      <w:r w:rsidRPr="00B4084B">
        <w:t>BH RLC channel based</w:t>
      </w:r>
      <w:r>
        <w:t xml:space="preserve"> flow control and </w:t>
      </w:r>
      <w:r w:rsidRPr="00B4084B">
        <w:t>routing ID based</w:t>
      </w:r>
      <w:r>
        <w:t xml:space="preserve"> flow control</w:t>
      </w:r>
    </w:p>
    <w:p w14:paraId="0A7D09DD" w14:textId="53F3AA50" w:rsidR="00464C72" w:rsidRPr="00AB26B9" w:rsidRDefault="00464C72" w:rsidP="0050622F">
      <w:pPr>
        <w:pStyle w:val="ListParagraph"/>
        <w:numPr>
          <w:ilvl w:val="0"/>
          <w:numId w:val="19"/>
        </w:numPr>
        <w:rPr>
          <w:lang w:val="en-US"/>
        </w:rPr>
      </w:pPr>
      <w:r>
        <w:t>whether there are any Rel-15 mandatory UE features, which do not have to be supported by IAB-MT (other than DRB handling)</w:t>
      </w:r>
      <w:r w:rsidR="00975AC7">
        <w:t>, e.g. DRX (3-3), ANR (4-5), RRC Inactive (6-1)</w:t>
      </w:r>
    </w:p>
    <w:p w14:paraId="1ACF50D9" w14:textId="7FBCE484" w:rsidR="00B7067E" w:rsidRDefault="00B7067E" w:rsidP="00B7067E">
      <w:pPr>
        <w:pStyle w:val="Heading1"/>
      </w:pPr>
      <w:r>
        <w:t>2</w:t>
      </w:r>
      <w:r w:rsidRPr="006E13D1">
        <w:tab/>
      </w:r>
      <w:r w:rsidR="007C617A">
        <w:t>Discussion</w:t>
      </w:r>
    </w:p>
    <w:p w14:paraId="0C97A287" w14:textId="2D5C05AC" w:rsidR="007C617A" w:rsidRDefault="007C617A" w:rsidP="007C617A">
      <w:pPr>
        <w:pStyle w:val="Heading2"/>
      </w:pPr>
      <w:r>
        <w:t>2.1</w:t>
      </w:r>
      <w:r>
        <w:tab/>
        <w:t>DRB support at IAB-MT</w:t>
      </w:r>
    </w:p>
    <w:p w14:paraId="3E527239" w14:textId="0645700B" w:rsidR="007C617A" w:rsidRDefault="007C617A" w:rsidP="007C617A">
      <w:r>
        <w:t xml:space="preserve">During the e-mail discussion on capabilities, a proposal was brought up that DRB support should be optional for IAB-MT unlike for Rel-15 UE for which it is a mandatory feature. The proposal was backed up by indicating that the only use of a DRB for IAB-MT is for OAM traffic while </w:t>
      </w:r>
      <w:r>
        <w:t xml:space="preserve">OAM traffic </w:t>
      </w:r>
      <w:r w:rsidR="005B223B">
        <w:t xml:space="preserve">could </w:t>
      </w:r>
      <w:r>
        <w:t xml:space="preserve">also be provided over the </w:t>
      </w:r>
      <w:r w:rsidR="005B223B">
        <w:t>BAP layer</w:t>
      </w:r>
      <w:r>
        <w:t xml:space="preserve"> and hence DRB is not necessary for that purpose. While we acknowledge this is true, it should be noted that this is just an option which is allowed by RAN3 specifications to be done based on implementation and the standardized solution assumes DRB utilization. Therefore, if an IAB-MT does not support DRB, interoperability between IAB nodes and Donor CU may be compromised. Furthermore, it would also impose a certain way of designing and implementing OAM system and underlying network infrastructure for the operator. To avoid such issues, we think that DRB support should be mandatory for IAB-MT.</w:t>
      </w:r>
    </w:p>
    <w:p w14:paraId="153FBC43" w14:textId="356E446A" w:rsidR="007C617A" w:rsidRDefault="007C617A" w:rsidP="007C617A">
      <w:pPr>
        <w:rPr>
          <w:b/>
          <w:bCs/>
        </w:rPr>
      </w:pPr>
      <w:r>
        <w:rPr>
          <w:b/>
          <w:bCs/>
        </w:rPr>
        <w:t>Proposal 1: DRB support is mandatory for IAB-MT.</w:t>
      </w:r>
    </w:p>
    <w:p w14:paraId="5C7D48B6" w14:textId="68238EE4" w:rsidR="00B4134D" w:rsidRDefault="00B4134D" w:rsidP="00B4134D">
      <w:pPr>
        <w:pStyle w:val="Heading2"/>
      </w:pPr>
      <w:r>
        <w:t>2.</w:t>
      </w:r>
      <w:r w:rsidR="007A592B">
        <w:t>2</w:t>
      </w:r>
      <w:r>
        <w:tab/>
        <w:t xml:space="preserve">IP </w:t>
      </w:r>
      <w:r w:rsidR="007A592B">
        <w:t xml:space="preserve">address </w:t>
      </w:r>
      <w:r>
        <w:t>assignment over RRC</w:t>
      </w:r>
    </w:p>
    <w:p w14:paraId="624359F1" w14:textId="1FD8B8FC" w:rsidR="00B4134D" w:rsidRDefault="00B4134D" w:rsidP="007C617A">
      <w:r w:rsidRPr="00B4134D">
        <w:t>Even</w:t>
      </w:r>
      <w:r>
        <w:t xml:space="preserve"> though we raised the </w:t>
      </w:r>
      <w:r w:rsidR="007A592B">
        <w:t>need for capability for IP assignment over RRC, it was rightly indicated in the discussion that IP assignment procedure is initiated from IAB node. Therefore, it is indeed unnecessary to specify the related capability.</w:t>
      </w:r>
    </w:p>
    <w:p w14:paraId="583D54F1" w14:textId="3EFCD1C2" w:rsidR="007A592B" w:rsidRPr="007A592B" w:rsidRDefault="007A592B" w:rsidP="007C617A">
      <w:pPr>
        <w:rPr>
          <w:b/>
          <w:bCs/>
        </w:rPr>
      </w:pPr>
      <w:r>
        <w:rPr>
          <w:b/>
          <w:bCs/>
        </w:rPr>
        <w:t>Proposal 2: Do not specify a capability/feature for IP address assignment over RRC.</w:t>
      </w:r>
    </w:p>
    <w:p w14:paraId="2594B15F" w14:textId="61F0350C" w:rsidR="007A592B" w:rsidRDefault="007A592B" w:rsidP="007A592B">
      <w:pPr>
        <w:pStyle w:val="Heading2"/>
      </w:pPr>
      <w:r>
        <w:t>2.3</w:t>
      </w:r>
      <w:r>
        <w:tab/>
      </w:r>
      <w:r w:rsidRPr="0050622F">
        <w:rPr>
          <w:lang w:val="en-US"/>
        </w:rPr>
        <w:t>F1AP over LTE leg signaling</w:t>
      </w:r>
    </w:p>
    <w:p w14:paraId="225C4D9A" w14:textId="71185CFC" w:rsidR="007A592B" w:rsidRPr="007A592B" w:rsidRDefault="007A592B" w:rsidP="007A592B">
      <w:pPr>
        <w:rPr>
          <w:lang w:val="en-US"/>
        </w:rPr>
      </w:pPr>
      <w:r w:rsidRPr="007A592B">
        <w:rPr>
          <w:lang w:val="en-US"/>
        </w:rPr>
        <w:t xml:space="preserve">It can be assumed that all IAB-MTs should be capable of transferring F1AP over the NR leg on top of the BAP layer, i.e., no separate capability is needed for it. However, the transfer of F1AP over the LTE leg using the SRB should be an optional feature. The IAB-MT capability for F1AP transfer over LTE SRB should be known by both </w:t>
      </w:r>
      <w:proofErr w:type="spellStart"/>
      <w:r w:rsidRPr="007A592B">
        <w:rPr>
          <w:lang w:val="en-US"/>
        </w:rPr>
        <w:t>MeNB</w:t>
      </w:r>
      <w:proofErr w:type="spellEnd"/>
      <w:r w:rsidRPr="007A592B">
        <w:rPr>
          <w:lang w:val="en-US"/>
        </w:rPr>
        <w:t xml:space="preserve"> and </w:t>
      </w:r>
      <w:proofErr w:type="spellStart"/>
      <w:r w:rsidRPr="007A592B">
        <w:rPr>
          <w:lang w:val="en-US"/>
        </w:rPr>
        <w:t>SgNB</w:t>
      </w:r>
      <w:proofErr w:type="spellEnd"/>
      <w:r w:rsidRPr="007A592B">
        <w:rPr>
          <w:lang w:val="en-US"/>
        </w:rPr>
        <w:t xml:space="preserve"> in case of EN-DC. Therefore, the capability should be in the MR-DC container as described in section 7.3 of TS 37.340. </w:t>
      </w:r>
    </w:p>
    <w:p w14:paraId="6A1D153F" w14:textId="55C72693" w:rsidR="007A592B" w:rsidRDefault="007A592B" w:rsidP="007A592B">
      <w:pPr>
        <w:rPr>
          <w:b/>
          <w:bCs/>
          <w:lang w:val="en-US"/>
        </w:rPr>
      </w:pPr>
      <w:r w:rsidRPr="007A592B">
        <w:rPr>
          <w:b/>
          <w:bCs/>
          <w:lang w:val="en-US"/>
        </w:rPr>
        <w:lastRenderedPageBreak/>
        <w:t>Proposal 3: Define an IAB-MT capability for F1AP transfer over LTE SRB. The capability should be an MR-DC capability.</w:t>
      </w:r>
    </w:p>
    <w:p w14:paraId="6CBB7678" w14:textId="3012FE2E" w:rsidR="007A592B" w:rsidRDefault="007A592B" w:rsidP="007A592B">
      <w:pPr>
        <w:pStyle w:val="Heading2"/>
      </w:pPr>
      <w:r>
        <w:t>2.4</w:t>
      </w:r>
      <w:r>
        <w:tab/>
      </w:r>
      <w:r>
        <w:rPr>
          <w:lang w:val="en-US"/>
        </w:rPr>
        <w:t>Flow control feature separation</w:t>
      </w:r>
    </w:p>
    <w:p w14:paraId="0E0F1A24" w14:textId="57AC189E" w:rsidR="00FB3D74" w:rsidRDefault="006B35E8" w:rsidP="00FB3D74">
      <w:r>
        <w:rPr>
          <w:lang w:val="en-US"/>
        </w:rPr>
        <w:t xml:space="preserve">RAN2 agreed to support UL flow control via BAP </w:t>
      </w:r>
      <w:r w:rsidR="00FB3D74">
        <w:rPr>
          <w:lang w:val="en-US"/>
        </w:rPr>
        <w:t xml:space="preserve">where the information carried by BAP C-PDU may be either </w:t>
      </w:r>
      <w:r w:rsidR="00FB3D74">
        <w:t xml:space="preserve">BH RLC channel based or Routing ID based. Since most likely a network will only utilize one of those, there is no need for IAB nodes to be capable of supporting both. </w:t>
      </w:r>
    </w:p>
    <w:p w14:paraId="450A2280" w14:textId="0A4A1887" w:rsidR="007A592B" w:rsidRPr="00464C72" w:rsidRDefault="00FB3D74" w:rsidP="0088253E">
      <w:pPr>
        <w:rPr>
          <w:lang w:val="en-US"/>
        </w:rPr>
      </w:pPr>
      <w:r>
        <w:rPr>
          <w:b/>
          <w:bCs/>
        </w:rPr>
        <w:t>Proposal 4: Define two separate capabilities for flow control: BH RLC channel based and Routing ID based.</w:t>
      </w:r>
    </w:p>
    <w:p w14:paraId="074FAA64" w14:textId="579B9D00" w:rsidR="00191CEE" w:rsidRDefault="00191CEE" w:rsidP="00191CEE">
      <w:pPr>
        <w:pStyle w:val="Heading2"/>
      </w:pPr>
      <w:r>
        <w:t>2.5</w:t>
      </w:r>
      <w:r>
        <w:tab/>
      </w:r>
      <w:r w:rsidR="005331ED">
        <w:rPr>
          <w:lang w:val="en-US"/>
        </w:rPr>
        <w:t>Rel-15 mandatory features</w:t>
      </w:r>
    </w:p>
    <w:p w14:paraId="2A9BFE02" w14:textId="6F436A37" w:rsidR="00191CEE" w:rsidRDefault="006B33C5" w:rsidP="006B33C5">
      <w:r w:rsidRPr="006B33C5">
        <w:rPr>
          <w:lang w:val="en-US"/>
        </w:rPr>
        <w:t xml:space="preserve">During the </w:t>
      </w:r>
      <w:r>
        <w:rPr>
          <w:lang w:val="en-US"/>
        </w:rPr>
        <w:t>e-mail discussion, it was indicated that some of the Rel-15 UE features are not applicable to IAB-MT. While most of the features which were mentioned are already optional and do not require any special handling for IAB-MT, there is a couple of features, which justify some discussion, i.e.:</w:t>
      </w:r>
      <w:r>
        <w:t xml:space="preserve"> </w:t>
      </w:r>
      <w:r w:rsidR="00191CEE">
        <w:t>DRX, ANR, RRC Inactive</w:t>
      </w:r>
      <w:r>
        <w:t>. All these features are mandatory with capability signalling</w:t>
      </w:r>
      <w:r w:rsidR="0088253E">
        <w:t xml:space="preserve"> (IODT bit)</w:t>
      </w:r>
      <w:r>
        <w:t xml:space="preserve"> at the moment</w:t>
      </w:r>
      <w:r w:rsidR="006B35E8">
        <w:t xml:space="preserve"> while their usefulness for IAB-MT is rather questionable:</w:t>
      </w:r>
    </w:p>
    <w:p w14:paraId="6F901217" w14:textId="73FA20E3" w:rsidR="006B35E8" w:rsidRDefault="006B35E8" w:rsidP="006B35E8">
      <w:pPr>
        <w:pStyle w:val="ListParagraph"/>
        <w:numPr>
          <w:ilvl w:val="0"/>
          <w:numId w:val="20"/>
        </w:numPr>
        <w:rPr>
          <w:lang w:val="en-US"/>
        </w:rPr>
      </w:pPr>
      <w:r>
        <w:rPr>
          <w:lang w:val="en-US"/>
        </w:rPr>
        <w:t>DRX: IAB-MTs will most likely be provided with a permanent source of power, it is not critical for them to implement UE power saving features</w:t>
      </w:r>
    </w:p>
    <w:p w14:paraId="5DCCAB8F" w14:textId="3424386C" w:rsidR="006B35E8" w:rsidRDefault="006B35E8" w:rsidP="006B35E8">
      <w:pPr>
        <w:pStyle w:val="ListParagraph"/>
        <w:numPr>
          <w:ilvl w:val="0"/>
          <w:numId w:val="20"/>
        </w:numPr>
        <w:rPr>
          <w:lang w:val="en-US"/>
        </w:rPr>
      </w:pPr>
      <w:r>
        <w:rPr>
          <w:lang w:val="en-US"/>
        </w:rPr>
        <w:t>ANR: this feature might be useful for IAB-MT but mainly in mobile IAB deployments. In the fixed IAB networks its applicability might be limited</w:t>
      </w:r>
    </w:p>
    <w:p w14:paraId="50BC0D31" w14:textId="16322B83" w:rsidR="006B35E8" w:rsidRDefault="006B35E8" w:rsidP="006B35E8">
      <w:pPr>
        <w:pStyle w:val="ListParagraph"/>
        <w:numPr>
          <w:ilvl w:val="0"/>
          <w:numId w:val="20"/>
        </w:numPr>
        <w:rPr>
          <w:lang w:val="en-US"/>
        </w:rPr>
      </w:pPr>
      <w:r>
        <w:rPr>
          <w:lang w:val="en-US"/>
        </w:rPr>
        <w:t>RRC Inactive: IAB-MTs will spend most of their time in RRC Connected mode and will very rarely or never disconnected from the parent node during normal operation.</w:t>
      </w:r>
    </w:p>
    <w:p w14:paraId="1DBBF80A" w14:textId="246F999B" w:rsidR="006B35E8" w:rsidRDefault="006B35E8" w:rsidP="006B35E8">
      <w:pPr>
        <w:rPr>
          <w:lang w:val="en-US"/>
        </w:rPr>
      </w:pPr>
      <w:r>
        <w:rPr>
          <w:lang w:val="en-US"/>
        </w:rPr>
        <w:t>While there should be nothing preventing an IAB-MT from implementing these features, we believe they are not indispensable functionalities of an IAB node. We therefore propose the following:</w:t>
      </w:r>
    </w:p>
    <w:p w14:paraId="33E67179" w14:textId="3447FE6A" w:rsidR="00191CEE" w:rsidRPr="007A592B" w:rsidRDefault="006B35E8" w:rsidP="007A592B">
      <w:pPr>
        <w:rPr>
          <w:b/>
          <w:bCs/>
          <w:lang w:val="en-US"/>
        </w:rPr>
      </w:pPr>
      <w:r>
        <w:rPr>
          <w:b/>
          <w:bCs/>
          <w:lang w:val="en-US"/>
        </w:rPr>
        <w:t>Proposal 5: DRX, ANR and RRC Inactive should be optional features for IAB-MT.</w:t>
      </w:r>
    </w:p>
    <w:p w14:paraId="5A98BCB8" w14:textId="55B12515" w:rsidR="006B35E8" w:rsidRPr="001D3792" w:rsidRDefault="006B35E8" w:rsidP="00A209D6">
      <w:pPr>
        <w:rPr>
          <w:b/>
          <w:bCs/>
        </w:rPr>
      </w:pPr>
    </w:p>
    <w:p w14:paraId="5FCDD515" w14:textId="11AC796A" w:rsidR="003113C9" w:rsidRPr="006E13D1" w:rsidRDefault="00191CEE" w:rsidP="003113C9">
      <w:pPr>
        <w:pStyle w:val="Heading1"/>
      </w:pPr>
      <w:r>
        <w:t>3</w:t>
      </w:r>
      <w:r w:rsidR="003113C9" w:rsidRPr="006E13D1">
        <w:tab/>
      </w:r>
      <w:r w:rsidR="003113C9">
        <w:t>Summary</w:t>
      </w:r>
    </w:p>
    <w:p w14:paraId="7038ED11" w14:textId="4A1A468B" w:rsidR="00C01F5E" w:rsidRDefault="0088253E" w:rsidP="00A64DB9">
      <w:r>
        <w:t>Based on the discussion the following is proposed:</w:t>
      </w:r>
    </w:p>
    <w:p w14:paraId="188BFA4B" w14:textId="77777777" w:rsidR="0088253E" w:rsidRDefault="0088253E" w:rsidP="0088253E">
      <w:pPr>
        <w:rPr>
          <w:b/>
          <w:bCs/>
        </w:rPr>
      </w:pPr>
      <w:r>
        <w:rPr>
          <w:b/>
          <w:bCs/>
        </w:rPr>
        <w:t>Proposal 1: DRB support is mandatory for IAB-MT.</w:t>
      </w:r>
    </w:p>
    <w:p w14:paraId="4D0DCC9D" w14:textId="77777777" w:rsidR="0088253E" w:rsidRPr="007A592B" w:rsidRDefault="0088253E" w:rsidP="0088253E">
      <w:pPr>
        <w:rPr>
          <w:b/>
          <w:bCs/>
        </w:rPr>
      </w:pPr>
      <w:r>
        <w:rPr>
          <w:b/>
          <w:bCs/>
        </w:rPr>
        <w:t>Proposal 2: Do not specify a capability/feature for IP address assignment over RRC.</w:t>
      </w:r>
    </w:p>
    <w:p w14:paraId="256F73CF" w14:textId="77777777" w:rsidR="0088253E" w:rsidRDefault="0088253E" w:rsidP="0088253E">
      <w:pPr>
        <w:rPr>
          <w:b/>
          <w:bCs/>
          <w:lang w:val="en-US"/>
        </w:rPr>
      </w:pPr>
      <w:r w:rsidRPr="007A592B">
        <w:rPr>
          <w:b/>
          <w:bCs/>
          <w:lang w:val="en-US"/>
        </w:rPr>
        <w:t>Proposal 3: Define an IAB-MT capability for F1AP transfer over LTE SRB. The capability should be an MR-DC capability.</w:t>
      </w:r>
    </w:p>
    <w:p w14:paraId="3FBA9EB2" w14:textId="77777777" w:rsidR="0088253E" w:rsidRPr="00464C72" w:rsidRDefault="0088253E" w:rsidP="0088253E">
      <w:pPr>
        <w:rPr>
          <w:lang w:val="en-US"/>
        </w:rPr>
      </w:pPr>
      <w:r>
        <w:rPr>
          <w:b/>
          <w:bCs/>
        </w:rPr>
        <w:t>Proposal 4: Define two separate capabilities for flow control: BH RLC channel based and Routing ID based.</w:t>
      </w:r>
    </w:p>
    <w:p w14:paraId="7566EBFA" w14:textId="77777777" w:rsidR="0088253E" w:rsidRPr="007A592B" w:rsidRDefault="0088253E" w:rsidP="0088253E">
      <w:pPr>
        <w:rPr>
          <w:b/>
          <w:bCs/>
          <w:lang w:val="en-US"/>
        </w:rPr>
      </w:pPr>
      <w:r>
        <w:rPr>
          <w:b/>
          <w:bCs/>
          <w:lang w:val="en-US"/>
        </w:rPr>
        <w:t>Proposal 5: DRX, ANR and RRC Inactive should be optional features for IAB-MT.</w:t>
      </w:r>
    </w:p>
    <w:p w14:paraId="6D111C68" w14:textId="77777777" w:rsidR="0088253E" w:rsidRPr="0088253E" w:rsidRDefault="0088253E" w:rsidP="00A64DB9">
      <w:pPr>
        <w:rPr>
          <w:lang w:val="en-US"/>
        </w:rPr>
      </w:pPr>
      <w:bookmarkStart w:id="0" w:name="_GoBack"/>
      <w:bookmarkEnd w:id="0"/>
    </w:p>
    <w:sectPr w:rsidR="0088253E" w:rsidRPr="00882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55C5D2" w14:textId="77777777" w:rsidR="00E1336F" w:rsidRDefault="00E1336F">
      <w:r>
        <w:separator/>
      </w:r>
    </w:p>
  </w:endnote>
  <w:endnote w:type="continuationSeparator" w:id="0">
    <w:p w14:paraId="177D3B96" w14:textId="77777777" w:rsidR="00E1336F" w:rsidRDefault="00E1336F">
      <w:r>
        <w:continuationSeparator/>
      </w:r>
    </w:p>
  </w:endnote>
  <w:endnote w:type="continuationNotice" w:id="1">
    <w:p w14:paraId="25B85152" w14:textId="77777777" w:rsidR="00E1336F" w:rsidRDefault="00E133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E1336F" w:rsidRDefault="00E13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E1336F" w:rsidRDefault="00E1336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E1336F" w:rsidRDefault="00E133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60AAA3" w14:textId="77777777" w:rsidR="00E1336F" w:rsidRDefault="00E1336F">
      <w:r>
        <w:separator/>
      </w:r>
    </w:p>
  </w:footnote>
  <w:footnote w:type="continuationSeparator" w:id="0">
    <w:p w14:paraId="14D2B5A8" w14:textId="77777777" w:rsidR="00E1336F" w:rsidRDefault="00E1336F">
      <w:r>
        <w:continuationSeparator/>
      </w:r>
    </w:p>
  </w:footnote>
  <w:footnote w:type="continuationNotice" w:id="1">
    <w:p w14:paraId="3A7FD104" w14:textId="77777777" w:rsidR="00E1336F" w:rsidRDefault="00E133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E1336F" w:rsidRDefault="00E133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E1336F" w:rsidRDefault="00E133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E1336F" w:rsidRDefault="00E13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BA27B6B"/>
    <w:multiLevelType w:val="hybridMultilevel"/>
    <w:tmpl w:val="029A392C"/>
    <w:lvl w:ilvl="0" w:tplc="83060D14">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1F64612"/>
    <w:multiLevelType w:val="hybridMultilevel"/>
    <w:tmpl w:val="DC265EE8"/>
    <w:lvl w:ilvl="0" w:tplc="B32AF73A">
      <w:start w:val="5"/>
      <w:numFmt w:val="bullet"/>
      <w:lvlText w:val="-"/>
      <w:lvlJc w:val="left"/>
      <w:pPr>
        <w:ind w:left="360" w:hanging="360"/>
      </w:pPr>
      <w:rPr>
        <w:rFonts w:ascii="Times New Roman" w:eastAsia="Malgun Gothic" w:hAnsi="Times New Roman" w:cs="Times New Roman" w:hint="default"/>
        <w:b/>
        <w:i w:val="0"/>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8A14103"/>
    <w:multiLevelType w:val="hybridMultilevel"/>
    <w:tmpl w:val="C144CCEA"/>
    <w:lvl w:ilvl="0" w:tplc="AE4ABCE2">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435B3648"/>
    <w:multiLevelType w:val="hybridMultilevel"/>
    <w:tmpl w:val="64465776"/>
    <w:lvl w:ilvl="0" w:tplc="04150001">
      <w:start w:val="3"/>
      <w:numFmt w:val="bullet"/>
      <w:lvlText w:val=""/>
      <w:lvlJc w:val="left"/>
      <w:pPr>
        <w:ind w:left="720" w:hanging="360"/>
      </w:pPr>
      <w:rPr>
        <w:rFonts w:ascii="Symbol" w:eastAsia="Times New Roman"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9"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54C54E8E"/>
    <w:multiLevelType w:val="hybridMultilevel"/>
    <w:tmpl w:val="B4468D5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CFC4F36"/>
    <w:multiLevelType w:val="hybridMultilevel"/>
    <w:tmpl w:val="E8F45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E2A5485"/>
    <w:multiLevelType w:val="hybridMultilevel"/>
    <w:tmpl w:val="5A46AB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EDB710F"/>
    <w:multiLevelType w:val="hybridMultilevel"/>
    <w:tmpl w:val="23340CE0"/>
    <w:lvl w:ilvl="0" w:tplc="0415000F">
      <w:start w:val="1"/>
      <w:numFmt w:val="decimal"/>
      <w:lvlText w:val="%1."/>
      <w:lvlJc w:val="lef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8"/>
  </w:num>
  <w:num w:numId="7">
    <w:abstractNumId w:val="9"/>
  </w:num>
  <w:num w:numId="8">
    <w:abstractNumId w:val="12"/>
  </w:num>
  <w:num w:numId="9">
    <w:abstractNumId w:val="11"/>
  </w:num>
  <w:num w:numId="10">
    <w:abstractNumId w:val="7"/>
  </w:num>
  <w:num w:numId="11">
    <w:abstractNumId w:val="14"/>
  </w:num>
  <w:num w:numId="12">
    <w:abstractNumId w:val="6"/>
  </w:num>
  <w:num w:numId="13">
    <w:abstractNumId w:val="3"/>
  </w:num>
  <w:num w:numId="14">
    <w:abstractNumId w:val="12"/>
  </w:num>
  <w:num w:numId="15">
    <w:abstractNumId w:val="12"/>
  </w:num>
  <w:num w:numId="16">
    <w:abstractNumId w:val="12"/>
  </w:num>
  <w:num w:numId="17">
    <w:abstractNumId w:val="12"/>
  </w:num>
  <w:num w:numId="18">
    <w:abstractNumId w:val="10"/>
  </w:num>
  <w:num w:numId="19">
    <w:abstractNumId w:val="13"/>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50E46"/>
    <w:rsid w:val="00073C9C"/>
    <w:rsid w:val="00080512"/>
    <w:rsid w:val="00090468"/>
    <w:rsid w:val="00094568"/>
    <w:rsid w:val="000B7BCF"/>
    <w:rsid w:val="000C10CB"/>
    <w:rsid w:val="000C522B"/>
    <w:rsid w:val="000D58AB"/>
    <w:rsid w:val="000F31DC"/>
    <w:rsid w:val="00112F1A"/>
    <w:rsid w:val="001137AE"/>
    <w:rsid w:val="00133E2F"/>
    <w:rsid w:val="00145075"/>
    <w:rsid w:val="001645EC"/>
    <w:rsid w:val="001741A0"/>
    <w:rsid w:val="00175FA0"/>
    <w:rsid w:val="00191CEE"/>
    <w:rsid w:val="00194CD0"/>
    <w:rsid w:val="001B49C9"/>
    <w:rsid w:val="001C23F4"/>
    <w:rsid w:val="001C4F79"/>
    <w:rsid w:val="001D3792"/>
    <w:rsid w:val="001F168B"/>
    <w:rsid w:val="001F7831"/>
    <w:rsid w:val="00204045"/>
    <w:rsid w:val="0020712B"/>
    <w:rsid w:val="0022606D"/>
    <w:rsid w:val="00231728"/>
    <w:rsid w:val="00250404"/>
    <w:rsid w:val="002610D8"/>
    <w:rsid w:val="00265262"/>
    <w:rsid w:val="002747EC"/>
    <w:rsid w:val="002855BF"/>
    <w:rsid w:val="002F0D22"/>
    <w:rsid w:val="003113C9"/>
    <w:rsid w:val="00311B17"/>
    <w:rsid w:val="003172DC"/>
    <w:rsid w:val="00325AE3"/>
    <w:rsid w:val="00326069"/>
    <w:rsid w:val="00345BA4"/>
    <w:rsid w:val="0035462D"/>
    <w:rsid w:val="00364B41"/>
    <w:rsid w:val="00383096"/>
    <w:rsid w:val="00392D41"/>
    <w:rsid w:val="003A41EF"/>
    <w:rsid w:val="003B40AD"/>
    <w:rsid w:val="003C4E37"/>
    <w:rsid w:val="003C7949"/>
    <w:rsid w:val="003D48ED"/>
    <w:rsid w:val="003E16BE"/>
    <w:rsid w:val="003F4E28"/>
    <w:rsid w:val="004006E8"/>
    <w:rsid w:val="00401855"/>
    <w:rsid w:val="00422F21"/>
    <w:rsid w:val="00423E64"/>
    <w:rsid w:val="00464C72"/>
    <w:rsid w:val="00465587"/>
    <w:rsid w:val="004669DC"/>
    <w:rsid w:val="00477455"/>
    <w:rsid w:val="004A1F7B"/>
    <w:rsid w:val="004C44D2"/>
    <w:rsid w:val="004D3578"/>
    <w:rsid w:val="004D380D"/>
    <w:rsid w:val="004E213A"/>
    <w:rsid w:val="004E45BF"/>
    <w:rsid w:val="004E4CA8"/>
    <w:rsid w:val="00503171"/>
    <w:rsid w:val="0050622F"/>
    <w:rsid w:val="00506C28"/>
    <w:rsid w:val="005331ED"/>
    <w:rsid w:val="00534DA0"/>
    <w:rsid w:val="00543E6C"/>
    <w:rsid w:val="00546608"/>
    <w:rsid w:val="00565087"/>
    <w:rsid w:val="0056573F"/>
    <w:rsid w:val="005B223B"/>
    <w:rsid w:val="005D1287"/>
    <w:rsid w:val="005F3AA6"/>
    <w:rsid w:val="00611566"/>
    <w:rsid w:val="00646D99"/>
    <w:rsid w:val="00656910"/>
    <w:rsid w:val="006574C0"/>
    <w:rsid w:val="006B33C5"/>
    <w:rsid w:val="006B35E8"/>
    <w:rsid w:val="006C66D8"/>
    <w:rsid w:val="006D1E24"/>
    <w:rsid w:val="006E1417"/>
    <w:rsid w:val="006E209B"/>
    <w:rsid w:val="006F6A2C"/>
    <w:rsid w:val="007069DC"/>
    <w:rsid w:val="00710201"/>
    <w:rsid w:val="0072073A"/>
    <w:rsid w:val="007342B5"/>
    <w:rsid w:val="00734A5B"/>
    <w:rsid w:val="00744E76"/>
    <w:rsid w:val="00757D40"/>
    <w:rsid w:val="00760391"/>
    <w:rsid w:val="007662B5"/>
    <w:rsid w:val="00781F0F"/>
    <w:rsid w:val="0078727C"/>
    <w:rsid w:val="0079049D"/>
    <w:rsid w:val="00793DC5"/>
    <w:rsid w:val="007A592B"/>
    <w:rsid w:val="007B18D8"/>
    <w:rsid w:val="007B4E45"/>
    <w:rsid w:val="007C095F"/>
    <w:rsid w:val="007C2DD0"/>
    <w:rsid w:val="007C617A"/>
    <w:rsid w:val="007F2E08"/>
    <w:rsid w:val="008028A4"/>
    <w:rsid w:val="00810E43"/>
    <w:rsid w:val="00813245"/>
    <w:rsid w:val="00840DE0"/>
    <w:rsid w:val="0086354A"/>
    <w:rsid w:val="00870D87"/>
    <w:rsid w:val="008768CA"/>
    <w:rsid w:val="00877EF9"/>
    <w:rsid w:val="00880559"/>
    <w:rsid w:val="0088253E"/>
    <w:rsid w:val="008B5306"/>
    <w:rsid w:val="008C2E2A"/>
    <w:rsid w:val="008C3057"/>
    <w:rsid w:val="008D2E4D"/>
    <w:rsid w:val="008F396F"/>
    <w:rsid w:val="008F3DCD"/>
    <w:rsid w:val="0090271F"/>
    <w:rsid w:val="00902DB9"/>
    <w:rsid w:val="0090466A"/>
    <w:rsid w:val="00923655"/>
    <w:rsid w:val="009238B4"/>
    <w:rsid w:val="00936071"/>
    <w:rsid w:val="009376CD"/>
    <w:rsid w:val="00940212"/>
    <w:rsid w:val="00942EC2"/>
    <w:rsid w:val="00961B32"/>
    <w:rsid w:val="00962509"/>
    <w:rsid w:val="00967453"/>
    <w:rsid w:val="00970DB3"/>
    <w:rsid w:val="00974BB0"/>
    <w:rsid w:val="00975AC7"/>
    <w:rsid w:val="00975BCD"/>
    <w:rsid w:val="009A0AF3"/>
    <w:rsid w:val="009B07CD"/>
    <w:rsid w:val="009C19E9"/>
    <w:rsid w:val="009D74A6"/>
    <w:rsid w:val="009E30C0"/>
    <w:rsid w:val="00A068F6"/>
    <w:rsid w:val="00A10F02"/>
    <w:rsid w:val="00A1530C"/>
    <w:rsid w:val="00A204CA"/>
    <w:rsid w:val="00A209D6"/>
    <w:rsid w:val="00A50CC4"/>
    <w:rsid w:val="00A53724"/>
    <w:rsid w:val="00A54B2B"/>
    <w:rsid w:val="00A64DB9"/>
    <w:rsid w:val="00A82346"/>
    <w:rsid w:val="00A9645C"/>
    <w:rsid w:val="00A9671C"/>
    <w:rsid w:val="00AA1553"/>
    <w:rsid w:val="00AB26B9"/>
    <w:rsid w:val="00B05380"/>
    <w:rsid w:val="00B05962"/>
    <w:rsid w:val="00B15449"/>
    <w:rsid w:val="00B16C2F"/>
    <w:rsid w:val="00B27303"/>
    <w:rsid w:val="00B4134D"/>
    <w:rsid w:val="00B47FD1"/>
    <w:rsid w:val="00B516BB"/>
    <w:rsid w:val="00B7067E"/>
    <w:rsid w:val="00B84DB2"/>
    <w:rsid w:val="00BC3555"/>
    <w:rsid w:val="00C01F5E"/>
    <w:rsid w:val="00C12B51"/>
    <w:rsid w:val="00C24650"/>
    <w:rsid w:val="00C25465"/>
    <w:rsid w:val="00C261ED"/>
    <w:rsid w:val="00C26677"/>
    <w:rsid w:val="00C33079"/>
    <w:rsid w:val="00C83A13"/>
    <w:rsid w:val="00C9068C"/>
    <w:rsid w:val="00C92967"/>
    <w:rsid w:val="00CA3D0C"/>
    <w:rsid w:val="00CA654B"/>
    <w:rsid w:val="00CB72B8"/>
    <w:rsid w:val="00CD4C7B"/>
    <w:rsid w:val="00CD58FE"/>
    <w:rsid w:val="00CF0948"/>
    <w:rsid w:val="00D33BE3"/>
    <w:rsid w:val="00D3792D"/>
    <w:rsid w:val="00D53EAA"/>
    <w:rsid w:val="00D55E47"/>
    <w:rsid w:val="00D62E19"/>
    <w:rsid w:val="00D67CD1"/>
    <w:rsid w:val="00D7071D"/>
    <w:rsid w:val="00D738D6"/>
    <w:rsid w:val="00D80795"/>
    <w:rsid w:val="00D854BE"/>
    <w:rsid w:val="00D87E00"/>
    <w:rsid w:val="00D9134D"/>
    <w:rsid w:val="00D96D11"/>
    <w:rsid w:val="00DA7A03"/>
    <w:rsid w:val="00DB0DB8"/>
    <w:rsid w:val="00DB1818"/>
    <w:rsid w:val="00DB4E23"/>
    <w:rsid w:val="00DC309B"/>
    <w:rsid w:val="00DC4DA2"/>
    <w:rsid w:val="00DC5261"/>
    <w:rsid w:val="00DE25D2"/>
    <w:rsid w:val="00E1336F"/>
    <w:rsid w:val="00E23B49"/>
    <w:rsid w:val="00E46C08"/>
    <w:rsid w:val="00E471CF"/>
    <w:rsid w:val="00E62835"/>
    <w:rsid w:val="00E6610F"/>
    <w:rsid w:val="00E77645"/>
    <w:rsid w:val="00E83697"/>
    <w:rsid w:val="00EA66C9"/>
    <w:rsid w:val="00EC4A25"/>
    <w:rsid w:val="00EF221A"/>
    <w:rsid w:val="00F025A2"/>
    <w:rsid w:val="00F036E9"/>
    <w:rsid w:val="00F07388"/>
    <w:rsid w:val="00F2026E"/>
    <w:rsid w:val="00F2210A"/>
    <w:rsid w:val="00F365F5"/>
    <w:rsid w:val="00F37743"/>
    <w:rsid w:val="00F54A3D"/>
    <w:rsid w:val="00F54CB0"/>
    <w:rsid w:val="00F579CD"/>
    <w:rsid w:val="00F653B8"/>
    <w:rsid w:val="00F71B89"/>
    <w:rsid w:val="00F7353C"/>
    <w:rsid w:val="00F76F8F"/>
    <w:rsid w:val="00F941DF"/>
    <w:rsid w:val="00FA1266"/>
    <w:rsid w:val="00FB36FA"/>
    <w:rsid w:val="00FB3D74"/>
    <w:rsid w:val="00FC0E67"/>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546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qFormat/>
    <w:rsid w:val="00546608"/>
    <w:pPr>
      <w:numPr>
        <w:numId w:val="8"/>
      </w:numPr>
      <w:spacing w:before="60" w:after="0"/>
    </w:pPr>
    <w:rPr>
      <w:rFonts w:ascii="Arial" w:eastAsia="MS Mincho" w:hAnsi="Arial"/>
      <w:b/>
      <w:szCs w:val="24"/>
      <w:lang w:eastAsia="en-GB"/>
    </w:rPr>
  </w:style>
  <w:style w:type="character" w:styleId="CommentReference">
    <w:name w:val="annotation reference"/>
    <w:basedOn w:val="DefaultParagraphFont"/>
    <w:rsid w:val="00422F21"/>
    <w:rPr>
      <w:sz w:val="16"/>
      <w:szCs w:val="16"/>
    </w:rPr>
  </w:style>
  <w:style w:type="paragraph" w:styleId="CommentText">
    <w:name w:val="annotation text"/>
    <w:basedOn w:val="Normal"/>
    <w:link w:val="CommentTextChar"/>
    <w:rsid w:val="00422F21"/>
  </w:style>
  <w:style w:type="character" w:customStyle="1" w:styleId="CommentTextChar">
    <w:name w:val="Comment Text Char"/>
    <w:basedOn w:val="DefaultParagraphFont"/>
    <w:link w:val="CommentText"/>
    <w:rsid w:val="00422F21"/>
    <w:rPr>
      <w:lang w:eastAsia="en-US"/>
    </w:rPr>
  </w:style>
  <w:style w:type="paragraph" w:styleId="CommentSubject">
    <w:name w:val="annotation subject"/>
    <w:basedOn w:val="CommentText"/>
    <w:next w:val="CommentText"/>
    <w:link w:val="CommentSubjectChar"/>
    <w:rsid w:val="00422F21"/>
    <w:rPr>
      <w:b/>
      <w:bCs/>
    </w:rPr>
  </w:style>
  <w:style w:type="character" w:customStyle="1" w:styleId="CommentSubjectChar">
    <w:name w:val="Comment Subject Char"/>
    <w:basedOn w:val="CommentTextChar"/>
    <w:link w:val="CommentSubject"/>
    <w:rsid w:val="00422F21"/>
    <w:rPr>
      <w:b/>
      <w:bCs/>
      <w:lang w:eastAsia="en-US"/>
    </w:rPr>
  </w:style>
  <w:style w:type="paragraph" w:styleId="ListParagraph">
    <w:name w:val="List Paragraph"/>
    <w:basedOn w:val="Normal"/>
    <w:uiPriority w:val="34"/>
    <w:qFormat/>
    <w:rsid w:val="00A50CC4"/>
    <w:pPr>
      <w:ind w:left="720"/>
      <w:contextualSpacing/>
    </w:pPr>
  </w:style>
  <w:style w:type="character" w:customStyle="1" w:styleId="B1Char1">
    <w:name w:val="B1 Char1"/>
    <w:link w:val="B1"/>
    <w:locked/>
    <w:rsid w:val="00423E64"/>
    <w:rPr>
      <w:lang w:eastAsia="en-US"/>
    </w:rPr>
  </w:style>
  <w:style w:type="character" w:customStyle="1" w:styleId="B2Char">
    <w:name w:val="B2 Char"/>
    <w:link w:val="B2"/>
    <w:qFormat/>
    <w:locked/>
    <w:rsid w:val="00423E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792087440">
      <w:bodyDiv w:val="1"/>
      <w:marLeft w:val="0"/>
      <w:marRight w:val="0"/>
      <w:marTop w:val="0"/>
      <w:marBottom w:val="0"/>
      <w:divBdr>
        <w:top w:val="none" w:sz="0" w:space="0" w:color="auto"/>
        <w:left w:val="none" w:sz="0" w:space="0" w:color="auto"/>
        <w:bottom w:val="none" w:sz="0" w:space="0" w:color="auto"/>
        <w:right w:val="none" w:sz="0" w:space="0" w:color="auto"/>
      </w:divBdr>
      <w:divsChild>
        <w:div w:id="2105104872">
          <w:marLeft w:val="0"/>
          <w:marRight w:val="0"/>
          <w:marTop w:val="0"/>
          <w:marBottom w:val="0"/>
          <w:divBdr>
            <w:top w:val="none" w:sz="0" w:space="0" w:color="auto"/>
            <w:left w:val="none" w:sz="0" w:space="0" w:color="auto"/>
            <w:bottom w:val="none" w:sz="0" w:space="0" w:color="auto"/>
            <w:right w:val="none" w:sz="0" w:space="0" w:color="auto"/>
          </w:divBdr>
        </w:div>
        <w:div w:id="1081676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5AIRPNAIUNRU-859666464-6164</_dlc_DocId>
    <_dlc_DocIdUrl xmlns="71c5aaf6-e6ce-465b-b873-5148d2a4c105">
      <Url>https://nokia.sharepoint.com/sites/c5g/e2earch/_layouts/15/DocIdRedir.aspx?ID=5AIRPNAIUNRU-859666464-6164</Url>
      <Description>5AIRPNAIUNRU-859666464-6164</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71c5aaf6-e6ce-465b-b873-5148d2a4c105"/>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http://purl.org/dc/elements/1.1/"/>
    <ds:schemaRef ds:uri="http://schemas.microsoft.com/office/2006/metadata/properties"/>
    <ds:schemaRef ds:uri="3b34c8f0-1ef5-4d1e-bb66-517ce7fe7356"/>
    <ds:schemaRef ds:uri="http://www.w3.org/XML/1998/namespace"/>
    <ds:schemaRef ds:uri="http://purl.org/dc/dcmitype/"/>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4795671-E731-44DE-AD3D-06DDC2D7C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348</TotalTime>
  <Pages>2</Pages>
  <Words>747</Words>
  <Characters>4482</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5219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Nokia</cp:lastModifiedBy>
  <cp:revision>106</cp:revision>
  <dcterms:created xsi:type="dcterms:W3CDTF">2016-08-12T03:53:00Z</dcterms:created>
  <dcterms:modified xsi:type="dcterms:W3CDTF">2020-02-13T17:30:00Z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7ac9a50b-2c28-41c1-9703-1cad4f2640da</vt:lpwstr>
  </property>
</Properties>
</file>